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21 278 vom 4. Dezember 2024</w:t>
      </w:r>
    </w:p>
    <w:p>
      <w:r>
        <w:t>VS Kantonsgericht, 2024-12-04, FR</w:t>
      </w:r>
    </w:p>
    <w:p>
      <w:r>
        <w:rPr>
          <w:b/>
        </w:rPr>
        <w:t xml:space="preserve">Quelle: </w:t>
      </w:r>
      <w:r>
        <w:t>https://mcp.opencaselaw.ch/entscheid/vs_gerichte_A1 21 278</w:t>
      </w:r>
    </w:p>
    <w:p>
      <w:r>
        <w:t>FR: VS_GERICHTE A1 21 278 du 4 décembre 2024</w:t>
      </w:r>
    </w:p>
    <w:p>
      <w:r>
        <w:t>IT: VS_GERICHTE A1 21 278 del 4 dicembre 2024</w:t>
      </w:r>
    </w:p>
    <w:p>
      <w:pPr>
        <w:pStyle w:val="Heading2"/>
      </w:pPr>
      <w:r>
        <w:t>Regeste</w:t>
      </w:r>
    </w:p>
    <w:p>
      <w:r>
        <w:t>A1 21 278 ARRET DU 4 DECEMBRE 2024 Tribunal cantonal du Valais Cour de droit public Composition : Christophe Joris, président ; Dr Thierry Schnyder et Frédéric Fellay, juges ; Matthieu Sartoretti, greffier ; en la cause X _________, recourant, représenté par Maître Frédéric Pitteloud, avocat à Sion, contre CONSEIL D'ETAT DU VALAIS, autorité attaquée, dans l’affaire qui oppose le recourant à la COMMUNE DE Y _________, autre autorité, représentée par Maître Christian Voide, avocat à Sion. (Aménagement du territoire) recours de droit administratif contre la décision du 10 novembre 2021</w:t>
      </w:r>
    </w:p>
    <w:p>
      <w:pPr>
        <w:pStyle w:val="Heading2"/>
      </w:pPr>
      <w:r>
        <w:t>Erwägungen</w:t>
      </w:r>
    </w:p>
    <w:p>
      <w:r>
        <w:rPr>
          <w:b/>
        </w:rPr>
        <w:t>E. 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en vertu de ces dispositions s’analyse à la lumière de la jurisprudence rendue en application de l’art. 89 LTF, le droit cantonal n’ayant sur ce point pas une portée plus large que le droit fédéral (ATF 144 I 43 consid. 2.1 ; arrêt du Tribunal fédéral 1C_334/2016 du 18 octobre 2016 consid. 2.1 ; ACDP A1 24 59 du 25 septembre 2024 consid. 2.1).</w:t>
      </w:r>
    </w:p>
    <w:p>
      <w:r>
        <w:rPr>
          <w:b/>
        </w:rPr>
        <w:t>E. 1.1</w:t>
      </w:r>
    </w:p>
    <w:p>
      <w:r>
        <w:t>Selon la jurisprudence, la qualité pour recourir suppose en particulier l’existence d’un intérêt actuel et pratique à l’annulation ou à la modification de la décision attaquée. Cet intérêt doit exister tant au moment du dépôt du recours qu'au moment où l'arrêt est rendu. S’il disparaît en cours de procédure, le recours devient sans objet, alors qu'il est irrecevable si l'intérêt actuel fait déjà défaut au moment du dépôt du recours (ATF 142 I 135 consid. 1.3.1 ; arrêt du Tribunal fédéral 2C_15/2024 du 18 juin 2024 consid. 1.2 ; ACDP A1 23 190 du 25 septembre 2024 consid. 4.1.3). L’intérêt actuel est déterminé en fonction du but poursuivi par le recours, des conséquences ainsi que de la portée d'une éventuelle admission de celui-ci (ATF 131 I 153 consid. 1.2 ; ACDP A1 23 190 précité consid. 4.1.3). De cette manière, les tribunaux sont assurés de trancher uniquement des questions concrètes et non de prendre des décisions à caractère théorique (ATF 144 IV 81 consid. 2.3.1 ; ACDP A1 19 48 du 12 décembre 2019 consid. 1.2).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w:t>
      </w:r>
    </w:p>
    <w:p>
      <w:r>
        <w:t>- 4 - important à la solution de la question litigieuse (ATF 142 I 135 consid. 1.3.1 et les arrêts cités).</w:t>
      </w:r>
    </w:p>
    <w:p>
      <w:r>
        <w:rPr>
          <w:b/>
        </w:rPr>
        <w:t>E. 1.2</w:t>
      </w:r>
    </w:p>
    <w:p>
      <w:r>
        <w:t>En l’espèce, la décision d’homologation du 10 novembre 2021 objet de la présente procédure a été intégralement annulée par l’arrêt A1 22 9 désormais en force. Cette décision n’existe dès lors plus, si bien que le recourant ne dispose plus d’aucun intérêt à ce que le Tribunal statue sur son recours de droit administratif du 20 décembre 2021 qui, dans ces conditions, a perdu son objet. A juste titre, le recourant ne soutient par ailleurs pas que les conditions permettant exceptionnellement d’entrer en matière nonobstant le défaut d’intérêt pratique actuel seraient réunies.</w:t>
      </w:r>
    </w:p>
    <w:p>
      <w:r>
        <w:rPr>
          <w:b/>
        </w:rPr>
        <w:t>E. 2</w:t>
      </w:r>
    </w:p>
    <w:p>
      <w:r>
        <w:t>L'indemnité allouée à la partie comprend le remboursement de ses débours et, lorsque des circonstances particulières le justifient, un dédommagement pour la perte de temps ou de gain.</w:t>
      </w:r>
    </w:p>
    <w:p>
      <w:r>
        <w:rPr>
          <w:b/>
        </w:rPr>
        <w:t>E. 2.1</w:t>
      </w:r>
    </w:p>
    <w:p>
      <w:r>
        <w:t>Lorsqu'un recours devient sans objet, le Tribunal statue en principe sur ce point par une décision sommairement motivée en tenant compte de l'état des choses existant avant le fait qui met fin au litige ainsi que de l’issue probable de celui-ci (RVJ 2020 p. 9 consid. 1.3 ; ACDP A1 24 133 du 23 août 2024 consid. 2.1). Il doit toutefois se garder d’examiner dans le détail les perspectives du procès, un jugement matériel ne devant pas être rendu par ce biais, de sorte que le Tribunal se limite à une appréciation succincte et sommaire du dossier (ACDP A1 22 160 du 14 novembre 2023 consid. 4.1). Si l'issue probable de la procédure n'apparaît pas évidente, il y a alors lieu de recourir aux critères généraux de procédure qui commandent de mettre les frais et dépens à la charge de la partie qui a provoqué la procédure devenue sans objet ou chez qui résident les motifs pour lesquels elle a pris fin de la sorte (ATF 142 V 551 consid. 8.2 ; arrêt du Tribunal fédéral 2C_1014/2022 du 18 septembre 2024 consid. 2.1 ; ACDP A1 23 160 du 8 mai 2024 consid. 3.1).</w:t>
      </w:r>
    </w:p>
    <w:p>
      <w:r>
        <w:rPr>
          <w:b/>
        </w:rPr>
        <w:t>E. 2.2</w:t>
      </w:r>
    </w:p>
    <w:p>
      <w:r>
        <w:t>En l’espèce, si la décision d’homologation du 10 novembre 2021 n’avait pas déjà été annulée, le Tribunal de céans aurait dû le faire au terme de la présente procédure. En effet, l’arrêt A1 22 9 constate qu’aucun intérêt public ne s’oppose à la requête de l’Assemblée primaire du 19 décembre 2023 tendant à l’annulation de la planification de 2015 et à la reprise ab ovo du processus de révision, mais relève au contraire que cette requête est justifiée vu les carences affectant les PAZ et RCCZ révisés. S’ils n’avaient pas déjà donné lieu à l’annulation totale de la décision d’homologation du 10 novembre 2021 aux termes de l’arrêt A1 22 9, ces mêmes motifs auraient donc justifié l’admission du recours de droit administratif du propriétaire. Aussi les autorités communales sont- elles réputées succomber et le recourant obtenir gain de cause, de sorte que le présent arrêt sera rendu sans frais (art. 89 al. 4 LPJA). Une indemnité de dépens devra en</w:t>
      </w:r>
    </w:p>
    <w:p>
      <w:r>
        <w:t>- 5 - revanche être allouée au recourant, dont il convient encore d’arrêter le montant en vertu des principes usuellement applicables.</w:t>
      </w:r>
    </w:p>
    <w:p>
      <w:r>
        <w:rPr>
          <w:b/>
        </w:rPr>
        <w:t>E. 2.3</w:t>
      </w:r>
    </w:p>
    <w:p>
      <w:r>
        <w:t>A cet égard, l’art. 4 LTar dispose ce qui suit : 1 Les dépens comprennent l'indemnité à la partie pouvant y prétendre (al. 2) et ses frais de conseil juridique (al. 3). Ils couvrent, en principe, les frais indispensables occasionnés par le litige. La décision fixant les dépens ne lie pas le conseil juridique et son client dans leurs relations internes.</w:t>
      </w:r>
    </w:p>
    <w:p>
      <w:r>
        <w:rPr>
          <w:b/>
        </w:rPr>
        <w:t>E. 2.3.1</w:t>
      </w:r>
    </w:p>
    <w:p>
      <w:r>
        <w:t>Aux termes de l’art. 27 al. 1 LTar, les honoraires sont fixés entre un minimum et un maximum prévus par la loi, d'après la nature et l'importance de la cause, ses difficultés, l'ampleur du travail, le temps utilement consacré par le conseil juridique et la situation financière de la partie. Pour les procédures de recours administratif et de recours de droit administratif, ils oscillent entre 550 et 8800 fr. (art. 37 al. 2 LTar) et respectivement 1100 fr. et 11'000 fr., sauf circonstances particulières justifiant une taxation inférieure ou supérieure (art. 29 al. 1 et 2 LTar). L'art. 29 al. 3 LTar dispose notamment qu'en cas de désistement, de retrait du recours, de jugement par défaut, de transaction, d'irrecevabilité et, d'une manière générale, lorsque la cause ne se termine pas par un jugement au fond, les honoraires peuvent être réduits en conséquence. La LTar pose le principe de l'évaluation globale des dépens (art. 4 al. 1 et art. 27 al. 4 LTar). L’autorité dispose dans ce cadre d’un large pouvoir d'appréciation qu’elle doit néanmoins exercer dans les limites fixées par la loi (ATF 143 I 227 consid. 4.3.3) ; cela signifie qu’elle n’est pas entièrement libre en la matière, la fixation des dépens impliquant « une appréciation consciencieuse des critères qui découlent de l’esprit et du but de la réglementation légale » (arrêt du Tribunal fédéral 2D_35/2016 du 21 avril 2017 consid. 6.2 et la jurisprudence citée).</w:t>
      </w:r>
    </w:p>
    <w:p>
      <w:r>
        <w:rPr>
          <w:b/>
        </w:rPr>
        <w:t>E. 2.3.2</w:t>
      </w:r>
    </w:p>
    <w:p>
      <w:r>
        <w:t>Ainsi, le montant des honoraires du conseil juridique doit être évalué sur la base d'une pondération des critères que cite l’art. 27 al. 1 LTar. Comme le permet la jurisprudence (ATF 141 I 124 consid. 4.3), la rémunération que prévoit la LTar est donc fixée sur la base d’un forfait et non en fonction d’un tarif horaire (RVJ 2012 p. 210 consid. 5.1, citée p. ex. in : ACDP A1 20 186 du 10 juin 2021 consid. 5.3.3 et A1 17 248 du 13 mai 2019 consid. 2.2.4). En l'absence de motifs particuliers prévus par la loi, elle doit demeurer dans les limites légales (ACDP A1 17 248 précité consid. 2.2.4 et A1 15 112</w:t>
      </w:r>
    </w:p>
    <w:p>
      <w:r>
        <w:t>- 6 - du 20 novembre 2015 consid. 5.3, citant notamment l’arrêt du Tribunal fédéral 1C_53/2015 du 12 mai 2015 consid. 2.2). Il résulte de l’art. 27 LTar que le temps consacré par l’avocat ne constitue que l’un des critères à prendre en considération, ce qui explique la différence qui peut exister entre le montant des dépens fixés et les honoraires effectivement perçus par le mandataire professionnel (arrêt du Tribunal fédéral 1C_170/2014 du 10 décembre 2014 consid. 3.2 ; ACDP A1 18 48 du 16 mars 2018 let. F). Si l’art. 5 al. 2 LTar prévoit la faculté de déposer un décompte de prestations, ce dernier ne lie cependant pas l’autorité de recours ou le juge (arrêt du Tribunal fédéral 2C_162/2013 du 8 juillet 2013 consid. 3.2 ; ACDP A1 23 190 du 25 septembre 2024 consid. 7.1.2 et A1 22 123 précité consid. 2.3.3 et les nombreuses références citées). Les frais résultant de démarches inutiles ou superflues ne sont en particulier pas pris en considération au moment de la fixation de l’indemnité de dépens (arrêt du Tribunal fédéral 5A_4/2018 du 17 avril 2018 consid. 3.4.2 ; ACDP A1 23 190 précité consid. 7.1.2 et A1 22 123 précité consid. 2.3.3). Il en va de même des activités de nature administrative, comme la transmission de pièces ou de copies, les brefs contacts téléphoniques ainsi que l’établissement de télécopies ou de brèves correspondances, telles celles nécessitant environ cinq minutes de travail (ACDP A1 22 123 précité consid.</w:t>
      </w:r>
    </w:p>
    <w:p>
      <w:r>
        <w:rPr>
          <w:b/>
        </w:rPr>
        <w:t>E. 2.3.3</w:t>
      </w:r>
    </w:p>
    <w:p>
      <w:r>
        <w:t>Selon la jurisprudence, la juridiction de recours n'est pas toujours tenue de motiver la décision par laquelle elle fixe le montant des dépens alloués à une partie obtenant totalement ou partiellement gain de cause dans un procès, ou l'indemnité allouée à l'avocat d'office. Il est admis de façon générale que l’autorité de recours ou le juge est en mesure de se rendre compte de la nature et de l'ampleur des opérations nécessaire.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 arrêt du Tribunal fédéral 2C_247/2022 du 16 août 2022 consid. 3.1 ; ACDP A1 21 17 / A2 21 9 du 31 août 2021 consid. 4.2). Cette jurisprudence concerne le montant des dépens et non le principe de leur allocation. Elle ne s'applique en outre que si le juge est saisi d'une procédure au fond, au terme de laquelle il fixe les frais et dépens. En revanche, lorsque l'objet du litige porte uniquement sur la question des frais et dépens, il appartient au juge de motiver sa décision en application de la jurisprudence relative à l'art. 29 al. 2 Cst. (arrêts du Tribunal</w:t>
      </w:r>
    </w:p>
    <w:p>
      <w:r>
        <w:t>- 7 - fédéral 2C_247/2022 précité consid. 3.1 et 1C_58/2019 du 31 décembre 2019 consid. 2.2).</w:t>
      </w:r>
    </w:p>
    <w:p>
      <w:r>
        <w:rPr>
          <w:b/>
        </w:rPr>
        <w:t>E. 2.4</w:t>
      </w:r>
    </w:p>
    <w:p>
      <w:r>
        <w:t>En l’occurrence, en l’absence de décompte (art. 5 al. 2 let. c LTar) et eu égard à la complexité de la procédure, au stade précoce auquel elle prend fin et à l’activité limitée déployée par le mandataire du recourant, laquelle a principalement consisté en la rédaction d’un mémoire de recours de droit administratif et de quelques brefs courriers, le montant des dépens sera arrêté à 1500 fr. (art. 39 LTar), débours et TVA inclus (art. 27 al. 5 LTar).</w:t>
      </w:r>
    </w:p>
    <w:p>
      <w:r>
        <w:rPr>
          <w:b/>
        </w:rPr>
        <w:t>E. 3</w:t>
      </w:r>
    </w:p>
    <w:p>
      <w:r>
        <w:t>A la lumière des considérants qui précèdent, le recours est devenu sans objet, si bien que la cause doit être rayée du rôle, sans frais (art. 89 al. 4 LPJA). La commune versera par ailleurs au recourant une indemnité de 1500 fr., débours et TVA compris, à titre de dépens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